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06A27EFB" w:rsidR="005A4AFA" w:rsidRPr="007B0CFF" w:rsidRDefault="002900A3" w:rsidP="002900A3">
      <w:pPr>
        <w:widowControl/>
        <w:jc w:val="right"/>
      </w:pPr>
      <w:r w:rsidRPr="002900A3">
        <w:t>NPFC-202</w:t>
      </w:r>
      <w:r w:rsidR="007412BB">
        <w:t>2</w:t>
      </w:r>
      <w:r w:rsidRPr="002900A3">
        <w:t>-SC0</w:t>
      </w:r>
      <w:r w:rsidR="007412BB">
        <w:t>7</w:t>
      </w:r>
      <w:r w:rsidRPr="002900A3">
        <w:t>-</w:t>
      </w:r>
      <w:r>
        <w:t>WP0</w:t>
      </w:r>
      <w:r w:rsidR="00C53B80">
        <w:t>2</w:t>
      </w:r>
    </w:p>
    <w:p w14:paraId="68FD50FC" w14:textId="040B9357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>Five-Year Work Plan of the Scientific Committee</w:t>
      </w:r>
    </w:p>
    <w:p w14:paraId="161C6B32" w14:textId="5C93B238" w:rsidR="00A8127F" w:rsidRDefault="00A8127F">
      <w:pPr>
        <w:widowControl/>
        <w:jc w:val="left"/>
      </w:pPr>
    </w:p>
    <w:p w14:paraId="2123C777" w14:textId="77777777" w:rsidR="007412BB" w:rsidRPr="007B0CFF" w:rsidRDefault="007412BB" w:rsidP="007412BB">
      <w:pPr>
        <w:widowControl/>
        <w:jc w:val="left"/>
        <w:rPr>
          <w:b/>
          <w:bCs/>
        </w:rPr>
      </w:pPr>
      <w:r w:rsidRPr="007B0CFF">
        <w:rPr>
          <w:b/>
          <w:bCs/>
        </w:rPr>
        <w:t>Scientific Committee (SC)</w:t>
      </w:r>
    </w:p>
    <w:p w14:paraId="74A7DD12" w14:textId="77777777" w:rsidR="007412BB" w:rsidRDefault="007412BB" w:rsidP="007412BB">
      <w:pPr>
        <w:widowControl/>
        <w:jc w:val="left"/>
      </w:pPr>
    </w:p>
    <w:p w14:paraId="66D8E842" w14:textId="77777777" w:rsidR="007412BB" w:rsidRDefault="007412BB" w:rsidP="007412BB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</w:p>
    <w:p w14:paraId="2A531B66" w14:textId="77777777" w:rsidR="007412BB" w:rsidRPr="009F7194" w:rsidRDefault="007412BB" w:rsidP="007412BB">
      <w:pPr>
        <w:rPr>
          <w:rFonts w:cs="Times New Roman"/>
          <w:szCs w:val="24"/>
        </w:rPr>
      </w:pPr>
      <w:r w:rsidRPr="00BD7FFE">
        <w:rPr>
          <w:rFonts w:cs="Times New Roman"/>
          <w:szCs w:val="24"/>
        </w:rPr>
        <w:t>As stipulated in the Convention, Article 10, the</w:t>
      </w:r>
      <w:r>
        <w:rPr>
          <w:rFonts w:cs="Times New Roman"/>
          <w:szCs w:val="24"/>
        </w:rPr>
        <w:t xml:space="preserve"> Scientific Committee shall provide scientific advice and recommendations to the Commission which is considered the highest priority task of the SC. The following priority areas have been identified for SC:</w:t>
      </w:r>
    </w:p>
    <w:p w14:paraId="514ECF5A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Priority s</w:t>
      </w:r>
      <w:r w:rsidRPr="00601E7C">
        <w:rPr>
          <w:rFonts w:cs="Times New Roman"/>
          <w:szCs w:val="24"/>
        </w:rPr>
        <w:t xml:space="preserve">pecies summaries and stock assessments for </w:t>
      </w:r>
      <w:r>
        <w:rPr>
          <w:rFonts w:cs="Times New Roman"/>
          <w:szCs w:val="24"/>
        </w:rPr>
        <w:t>management advice</w:t>
      </w:r>
    </w:p>
    <w:p w14:paraId="57758B7B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 xml:space="preserve">Management Strategy Evaluation (MSE) for </w:t>
      </w:r>
      <w:r>
        <w:rPr>
          <w:rFonts w:cs="Times New Roman"/>
          <w:szCs w:val="24"/>
        </w:rPr>
        <w:t>p</w:t>
      </w:r>
      <w:r w:rsidRPr="00601E7C">
        <w:rPr>
          <w:rFonts w:cs="Times New Roman"/>
          <w:szCs w:val="24"/>
        </w:rPr>
        <w:t xml:space="preserve">riority </w:t>
      </w:r>
      <w:r>
        <w:rPr>
          <w:rFonts w:cs="Times New Roman"/>
          <w:szCs w:val="24"/>
        </w:rPr>
        <w:t>s</w:t>
      </w:r>
      <w:r w:rsidRPr="00601E7C">
        <w:rPr>
          <w:rFonts w:cs="Times New Roman"/>
          <w:szCs w:val="24"/>
        </w:rPr>
        <w:t>pecies</w:t>
      </w:r>
    </w:p>
    <w:p w14:paraId="5374DB14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Ecosystem approach to fisheries</w:t>
      </w:r>
      <w:r>
        <w:rPr>
          <w:rFonts w:cs="Times New Roman"/>
          <w:szCs w:val="24"/>
        </w:rPr>
        <w:t xml:space="preserve"> management</w:t>
      </w:r>
      <w:r w:rsidRPr="00601E7C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u</w:t>
      </w:r>
      <w:r w:rsidRPr="00601E7C">
        <w:rPr>
          <w:rFonts w:cs="Times New Roman"/>
          <w:szCs w:val="24"/>
        </w:rPr>
        <w:t>nderstand ecological interactions among species and impacts of fishing on fisheries resources and their ecosystem components</w:t>
      </w:r>
    </w:p>
    <w:p w14:paraId="45056F99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Collaboration with other organizations</w:t>
      </w:r>
    </w:p>
    <w:p w14:paraId="7C97188B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Regular review of the r</w:t>
      </w:r>
      <w:r w:rsidRPr="00601E7C">
        <w:rPr>
          <w:rFonts w:cs="Times New Roman"/>
          <w:szCs w:val="24"/>
        </w:rPr>
        <w:t>esearch plan and work plan</w:t>
      </w:r>
    </w:p>
    <w:p w14:paraId="4B959624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Data collection, management, and security</w:t>
      </w:r>
    </w:p>
    <w:p w14:paraId="44ADB07B" w14:textId="77777777" w:rsidR="007412BB" w:rsidRDefault="007412BB" w:rsidP="007412BB">
      <w:pPr>
        <w:widowControl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44"/>
        <w:gridCol w:w="2244"/>
        <w:gridCol w:w="2243"/>
        <w:gridCol w:w="2244"/>
        <w:gridCol w:w="2244"/>
      </w:tblGrid>
      <w:tr w:rsidR="00E55842" w:rsidRPr="005E63BE" w14:paraId="74197A56" w14:textId="2657525F" w:rsidTr="00E55842">
        <w:trPr>
          <w:tblHeader/>
        </w:trPr>
        <w:tc>
          <w:tcPr>
            <w:tcW w:w="22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582A83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5E8287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C2704C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5B0C2C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EEB16D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FFC66C" w14:textId="50840022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E55842" w:rsidRPr="005E63BE" w14:paraId="2EC9F874" w14:textId="356C1B1D" w:rsidTr="00E55842">
        <w:tc>
          <w:tcPr>
            <w:tcW w:w="2243" w:type="dxa"/>
            <w:shd w:val="clear" w:color="auto" w:fill="FFE599" w:themeFill="accent4" w:themeFillTint="66"/>
          </w:tcPr>
          <w:p w14:paraId="107729FC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Priority Species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77E123D9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13293B96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2FDFB7CB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349AB978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0F59075F" w14:textId="77777777" w:rsidR="00E55842" w:rsidRPr="005E63BE" w:rsidRDefault="00E55842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55842" w:rsidRPr="005E63BE" w14:paraId="29892C0B" w14:textId="657C8733" w:rsidTr="00E55842">
        <w:tc>
          <w:tcPr>
            <w:tcW w:w="2243" w:type="dxa"/>
          </w:tcPr>
          <w:p w14:paraId="154D350A" w14:textId="77777777" w:rsidR="00E55842" w:rsidRPr="00DF1278" w:rsidRDefault="00E55842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Summaries of priority species</w:t>
            </w:r>
          </w:p>
        </w:tc>
        <w:tc>
          <w:tcPr>
            <w:tcW w:w="2244" w:type="dxa"/>
          </w:tcPr>
          <w:p w14:paraId="4E37F71B" w14:textId="77777777" w:rsidR="00E55842" w:rsidRPr="00DF1278" w:rsidRDefault="00E55842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Draft summary sheet</w:t>
            </w:r>
          </w:p>
        </w:tc>
        <w:tc>
          <w:tcPr>
            <w:tcW w:w="2244" w:type="dxa"/>
          </w:tcPr>
          <w:p w14:paraId="540F93C2" w14:textId="77777777" w:rsidR="00E55842" w:rsidRPr="00DF1278" w:rsidRDefault="00E55842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2243" w:type="dxa"/>
          </w:tcPr>
          <w:p w14:paraId="74A46838" w14:textId="77777777" w:rsidR="00E55842" w:rsidRPr="00DF1278" w:rsidRDefault="00E55842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2244" w:type="dxa"/>
          </w:tcPr>
          <w:p w14:paraId="623F1804" w14:textId="77777777" w:rsidR="00E55842" w:rsidRPr="00DF1278" w:rsidRDefault="00E55842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2244" w:type="dxa"/>
          </w:tcPr>
          <w:p w14:paraId="755B9880" w14:textId="4AF05760" w:rsidR="00E55842" w:rsidRPr="00DF1278" w:rsidRDefault="00E55842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</w:tr>
      <w:tr w:rsidR="00E55842" w:rsidRPr="005E63BE" w14:paraId="46F816A3" w14:textId="55F652B2" w:rsidTr="00E55842">
        <w:tc>
          <w:tcPr>
            <w:tcW w:w="2243" w:type="dxa"/>
          </w:tcPr>
          <w:p w14:paraId="0E6B6CA1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Assessment of </w:t>
            </w:r>
            <w:r>
              <w:rPr>
                <w:rFonts w:cs="Times New Roman"/>
                <w:sz w:val="20"/>
                <w:szCs w:val="20"/>
              </w:rPr>
              <w:t>Blue (</w:t>
            </w:r>
            <w:r w:rsidRPr="005E63BE">
              <w:rPr>
                <w:rFonts w:cs="Times New Roman"/>
                <w:sz w:val="20"/>
                <w:szCs w:val="20"/>
              </w:rPr>
              <w:t>Spotted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5E63BE">
              <w:rPr>
                <w:rFonts w:cs="Times New Roman"/>
                <w:sz w:val="20"/>
                <w:szCs w:val="20"/>
              </w:rPr>
              <w:t xml:space="preserve"> Mackerel and associated bycatch</w:t>
            </w:r>
          </w:p>
        </w:tc>
        <w:tc>
          <w:tcPr>
            <w:tcW w:w="2244" w:type="dxa"/>
          </w:tcPr>
          <w:p w14:paraId="591CBA80" w14:textId="5903D69D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3E2BB41D" w14:textId="034D1C68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B7E0390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Compile data on the catch composition of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Chub Mackerel and Blue Mackerel </w:t>
            </w:r>
          </w:p>
          <w:p w14:paraId="595E87E4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DA9A0CA" w14:textId="7BE9767D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F8A4092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5DBFD0D" w14:textId="46739A23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</w:tcPr>
          <w:p w14:paraId="2C97964A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</w:t>
            </w:r>
          </w:p>
          <w:p w14:paraId="4E6D58B1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3F066E6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data collection templates and share data</w:t>
            </w:r>
          </w:p>
          <w:p w14:paraId="01A7D19B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89DA35D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53153B9" w14:textId="77777777" w:rsidR="00E55842" w:rsidRPr="005E63BE" w:rsidRDefault="00E55842" w:rsidP="008B079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</w:t>
            </w:r>
          </w:p>
          <w:p w14:paraId="08857CB5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94DFE73" w14:textId="7065B2B3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spatial structure of stocks</w:t>
            </w:r>
          </w:p>
          <w:p w14:paraId="1DE2B35B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96DBAD4" w14:textId="56C1866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Undertake baseline stock assessment and provide management advice including harvest control rules</w:t>
            </w:r>
          </w:p>
          <w:p w14:paraId="1C50DB60" w14:textId="727BE8DD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</w:tcPr>
          <w:p w14:paraId="040DF304" w14:textId="77777777" w:rsidR="00E55842" w:rsidRPr="005E63BE" w:rsidRDefault="00E55842" w:rsidP="008B079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</w:t>
            </w:r>
          </w:p>
          <w:p w14:paraId="67366447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22FC37A" w14:textId="692C6548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baseline stock assessment as needed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and provide management advice including harvest control rules</w:t>
            </w:r>
          </w:p>
          <w:p w14:paraId="0D6AFDCF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39CF1E1" w14:textId="2221AD7D" w:rsidR="00E55842" w:rsidRPr="005E63BE" w:rsidRDefault="00E55842" w:rsidP="00E5584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  <w:r w:rsidRPr="005E63BE" w:rsidDel="005115A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44" w:type="dxa"/>
          </w:tcPr>
          <w:p w14:paraId="2CB1F1ED" w14:textId="77777777" w:rsidR="00E55842" w:rsidRPr="005E63BE" w:rsidRDefault="00E55842" w:rsidP="008B079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</w:t>
            </w:r>
          </w:p>
          <w:p w14:paraId="6FA105F1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F2B8D7C" w14:textId="419AEDC9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baseline stock assessment as needed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and provide management advice including harvest control rules</w:t>
            </w:r>
          </w:p>
          <w:p w14:paraId="54DFBA9E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5CF5B97" w14:textId="54CE4230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impacts of fishery on dependent or associated species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55842" w:rsidRPr="005E63BE" w14:paraId="1168ACED" w14:textId="5EF9A365" w:rsidTr="00E55842">
        <w:tc>
          <w:tcPr>
            <w:tcW w:w="2243" w:type="dxa"/>
          </w:tcPr>
          <w:p w14:paraId="36893326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Japanese Sardine and associated bycatch</w:t>
            </w:r>
          </w:p>
          <w:p w14:paraId="487BFAAB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F32B454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273CC1B3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0DFB8EE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data collection templates and share data</w:t>
            </w:r>
          </w:p>
          <w:p w14:paraId="01C6788D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60B76E4" w14:textId="71997A9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</w:tcPr>
          <w:p w14:paraId="3E85541E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Collate data </w:t>
            </w:r>
          </w:p>
          <w:p w14:paraId="3292AEDB" w14:textId="0F2426EE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8F628B6" w14:textId="7FC97316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spatial structure of stocks</w:t>
            </w:r>
          </w:p>
          <w:p w14:paraId="6E50FE70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0DCCF1C" w14:textId="1BF8CB0F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Undertake baseline stock assessment and provide management advice including harvest control rules</w:t>
            </w:r>
          </w:p>
        </w:tc>
        <w:tc>
          <w:tcPr>
            <w:tcW w:w="2243" w:type="dxa"/>
          </w:tcPr>
          <w:p w14:paraId="4C0B6E0F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Collate data </w:t>
            </w:r>
          </w:p>
          <w:p w14:paraId="6285320E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6384D26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Undertake baseline stock assessment and provide management advice including harvest control rules</w:t>
            </w:r>
            <w:r w:rsidRPr="005E63BE" w:rsidDel="008B079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697FE95E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4277873" w14:textId="47345B4D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14:paraId="29F0D4C4" w14:textId="2230FACB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4C120B99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4FC733B" w14:textId="77777777" w:rsidR="00E55842" w:rsidRPr="005E63BE" w:rsidRDefault="00E55842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baseline stock assessment as needed and provide management advice including harvest control rules</w:t>
            </w:r>
          </w:p>
          <w:p w14:paraId="13DD8BFB" w14:textId="77777777" w:rsidR="00E55842" w:rsidRPr="005E63BE" w:rsidRDefault="00E55842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6E16EEA" w14:textId="60A3CCC2" w:rsidR="00E55842" w:rsidRPr="005E63BE" w:rsidRDefault="00E55842" w:rsidP="00E5584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  <w:r w:rsidRPr="005E63BE" w:rsidDel="008B079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44" w:type="dxa"/>
          </w:tcPr>
          <w:p w14:paraId="0664C53A" w14:textId="77777777" w:rsidR="00E55842" w:rsidRDefault="00E55842" w:rsidP="000A00F4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05DB7BB0" w14:textId="77777777" w:rsidR="00E55842" w:rsidRDefault="00E55842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FBE8BBB" w14:textId="62EEFFE2" w:rsidR="00E55842" w:rsidRPr="005E63BE" w:rsidRDefault="00E55842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baseline stock assessment as needed and provide management advice including harvest control rules</w:t>
            </w:r>
          </w:p>
          <w:p w14:paraId="2C036D63" w14:textId="77777777" w:rsidR="00E55842" w:rsidRPr="005E63BE" w:rsidRDefault="00E55842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9FE36FB" w14:textId="01CD31C7" w:rsidR="00E55842" w:rsidRPr="005E63BE" w:rsidRDefault="00E55842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impacts of fishery on dependent or associated species</w:t>
            </w:r>
          </w:p>
        </w:tc>
      </w:tr>
      <w:tr w:rsidR="00E55842" w:rsidRPr="005E63BE" w14:paraId="5D1AAF2A" w14:textId="188FF422" w:rsidTr="00E55842">
        <w:tc>
          <w:tcPr>
            <w:tcW w:w="2243" w:type="dxa"/>
          </w:tcPr>
          <w:p w14:paraId="77BEB020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Assessment of Neon Flying Squid and associated bycatch</w:t>
            </w:r>
          </w:p>
          <w:p w14:paraId="6977A605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14:paraId="2352227A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21015A72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BF77CC3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data collection templates</w:t>
            </w:r>
          </w:p>
          <w:p w14:paraId="707A2B44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9DAB529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Determine spatial structure of stocks</w:t>
            </w:r>
          </w:p>
        </w:tc>
        <w:tc>
          <w:tcPr>
            <w:tcW w:w="2244" w:type="dxa"/>
          </w:tcPr>
          <w:p w14:paraId="2634E33D" w14:textId="77777777" w:rsidR="00E55842" w:rsidRPr="005E63BE" w:rsidRDefault="00E55842" w:rsidP="005264FF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</w:t>
            </w:r>
          </w:p>
          <w:p w14:paraId="1AB956C2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6649745" w14:textId="55FE6018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Undertake baseline stock assessment and provide management advice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including harvest control rules</w:t>
            </w:r>
          </w:p>
        </w:tc>
        <w:tc>
          <w:tcPr>
            <w:tcW w:w="2243" w:type="dxa"/>
          </w:tcPr>
          <w:p w14:paraId="53420261" w14:textId="77777777" w:rsidR="00E55842" w:rsidRPr="005E63BE" w:rsidRDefault="00E55842" w:rsidP="005264FF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</w:t>
            </w:r>
          </w:p>
          <w:p w14:paraId="1CDA1BC0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C0C26CF" w14:textId="26621C08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baseline stock assessment as needed and provide management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advice including harvest control rules</w:t>
            </w:r>
          </w:p>
          <w:p w14:paraId="493986AD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EF06C85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</w:p>
        </w:tc>
        <w:tc>
          <w:tcPr>
            <w:tcW w:w="2244" w:type="dxa"/>
          </w:tcPr>
          <w:p w14:paraId="76675B1B" w14:textId="77777777" w:rsidR="00E55842" w:rsidRPr="005E63BE" w:rsidRDefault="00E55842" w:rsidP="005264FF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</w:t>
            </w:r>
          </w:p>
          <w:p w14:paraId="1FD55103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88003B5" w14:textId="761F0A26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baseline stock assessment as needed and provide management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advice including harvest control rules</w:t>
            </w:r>
          </w:p>
          <w:p w14:paraId="521B04FA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19ADCEF" w14:textId="06F31AD4" w:rsidR="00E55842" w:rsidRPr="005E63BE" w:rsidRDefault="00E55842" w:rsidP="00E5584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</w:p>
        </w:tc>
        <w:tc>
          <w:tcPr>
            <w:tcW w:w="2244" w:type="dxa"/>
          </w:tcPr>
          <w:p w14:paraId="5591A7A5" w14:textId="77777777" w:rsidR="00E55842" w:rsidRPr="005E63BE" w:rsidRDefault="00E55842" w:rsidP="005264FF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</w:t>
            </w:r>
          </w:p>
          <w:p w14:paraId="5EF9516B" w14:textId="77777777" w:rsidR="00E55842" w:rsidRDefault="00E55842" w:rsidP="005264F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E6A3445" w14:textId="4FD950B0" w:rsidR="00E55842" w:rsidRPr="005E63BE" w:rsidRDefault="00E55842" w:rsidP="005264F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baseline stock assessment as needed and provide management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advice including harvest control rules</w:t>
            </w:r>
          </w:p>
          <w:p w14:paraId="0B6405A0" w14:textId="77777777" w:rsidR="00E55842" w:rsidRPr="005E63BE" w:rsidRDefault="00E55842" w:rsidP="005264F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59571A0" w14:textId="5099AD76" w:rsidR="00E55842" w:rsidRPr="005E63BE" w:rsidRDefault="00E55842" w:rsidP="005264F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impacts of fishery on dependent or associated species</w:t>
            </w:r>
          </w:p>
        </w:tc>
      </w:tr>
      <w:tr w:rsidR="00E55842" w:rsidRPr="005E63BE" w14:paraId="6EBD192D" w14:textId="3134E696" w:rsidTr="00E55842">
        <w:tc>
          <w:tcPr>
            <w:tcW w:w="2243" w:type="dxa"/>
            <w:tcBorders>
              <w:bottom w:val="single" w:sz="4" w:space="0" w:color="auto"/>
            </w:tcBorders>
          </w:tcPr>
          <w:p w14:paraId="63BEBF4A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Japanese Flying Squid and associated bycatch</w:t>
            </w:r>
          </w:p>
          <w:p w14:paraId="27BD5C57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6475D73E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17CF4163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50C40F8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data collection templates</w:t>
            </w:r>
          </w:p>
          <w:p w14:paraId="422520F1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81C2B95" w14:textId="77777777" w:rsidR="00E55842" w:rsidRPr="005E63BE" w:rsidRDefault="00E55842" w:rsidP="00DF127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26F7FCDC" w14:textId="77777777" w:rsidR="00E55842" w:rsidRPr="005E63BE" w:rsidRDefault="00E55842" w:rsidP="00891F2F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79A712BC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6712E6B" w14:textId="77777777" w:rsidR="00E55842" w:rsidRPr="005E63BE" w:rsidRDefault="00E55842" w:rsidP="00C1148D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spatial structure of stocks</w:t>
            </w:r>
          </w:p>
          <w:p w14:paraId="650D0C92" w14:textId="77777777" w:rsidR="00E55842" w:rsidRPr="005E63BE" w:rsidRDefault="00E55842" w:rsidP="00DF127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19869D53" w14:textId="77777777" w:rsidR="00E55842" w:rsidRPr="005E63BE" w:rsidRDefault="00E55842" w:rsidP="00891F2F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426E3BFB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A3CD559" w14:textId="77777777" w:rsidR="00E55842" w:rsidRPr="005E63BE" w:rsidRDefault="00E55842" w:rsidP="00C1148D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Undertake baseline stock assessment and provide management advice including harvest control rules</w:t>
            </w:r>
          </w:p>
          <w:p w14:paraId="40A82FE8" w14:textId="00A4F85C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F429C38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96FC805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19FFF1DD" w14:textId="77777777" w:rsidR="00E55842" w:rsidRPr="005E63BE" w:rsidRDefault="00E55842" w:rsidP="00891F2F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7881F04E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05919B9" w14:textId="0AEE716C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baseline stock assessment as needed and provide management advice including harvest control rules</w:t>
            </w:r>
          </w:p>
          <w:p w14:paraId="153C80A3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D1FAA0E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baseline stock assessment of associated bycatch species</w:t>
            </w:r>
          </w:p>
          <w:p w14:paraId="52CBC7CE" w14:textId="77777777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2BECE9C2" w14:textId="77777777" w:rsidR="00E55842" w:rsidRPr="005E63BE" w:rsidRDefault="00E55842" w:rsidP="00891F2F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33B0F629" w14:textId="0C853622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E3D448B" w14:textId="77777777" w:rsidR="00E55842" w:rsidRPr="005E63BE" w:rsidRDefault="00E55842" w:rsidP="00C1148D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baseline stock assessment as needed and provide management advice including harvest control rules</w:t>
            </w:r>
          </w:p>
          <w:p w14:paraId="6D7A773D" w14:textId="77777777" w:rsidR="00E55842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57ECBB4" w14:textId="26E0541E" w:rsidR="00E55842" w:rsidRPr="005E63BE" w:rsidRDefault="00E5584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impacts of fishery on dependent or associated species</w:t>
            </w:r>
          </w:p>
        </w:tc>
      </w:tr>
      <w:tr w:rsidR="00E55842" w:rsidRPr="005E63BE" w14:paraId="3FC7A985" w14:textId="7C598F9B" w:rsidTr="00E55842">
        <w:tc>
          <w:tcPr>
            <w:tcW w:w="2243" w:type="dxa"/>
            <w:shd w:val="clear" w:color="auto" w:fill="FFE599" w:themeFill="accent4" w:themeFillTint="66"/>
          </w:tcPr>
          <w:p w14:paraId="677BD067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Management Strategy Evaluation (MSE)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00E5400C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75D6C6BA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4B92BA84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570A4360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12E717A3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55842" w:rsidRPr="005E63BE" w14:paraId="29366C0C" w14:textId="4682721A" w:rsidTr="00E55842">
        <w:tc>
          <w:tcPr>
            <w:tcW w:w="2243" w:type="dxa"/>
          </w:tcPr>
          <w:p w14:paraId="69BF1F84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Pacific Saury</w:t>
            </w:r>
          </w:p>
        </w:tc>
        <w:tc>
          <w:tcPr>
            <w:tcW w:w="2244" w:type="dxa"/>
          </w:tcPr>
          <w:p w14:paraId="140E412F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2244" w:type="dxa"/>
          </w:tcPr>
          <w:p w14:paraId="01E7587B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2243" w:type="dxa"/>
          </w:tcPr>
          <w:p w14:paraId="233A2733" w14:textId="77777777" w:rsidR="00E55842" w:rsidRPr="00DF1278" w:rsidRDefault="00E55842" w:rsidP="005115A8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2244" w:type="dxa"/>
          </w:tcPr>
          <w:p w14:paraId="08FE9212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2244" w:type="dxa"/>
          </w:tcPr>
          <w:p w14:paraId="15601787" w14:textId="030BE5F2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</w:tr>
      <w:tr w:rsidR="00E55842" w:rsidRPr="005E63BE" w14:paraId="25E1B3FB" w14:textId="227365D8" w:rsidTr="00E55842">
        <w:tc>
          <w:tcPr>
            <w:tcW w:w="2243" w:type="dxa"/>
            <w:shd w:val="clear" w:color="auto" w:fill="FFE599" w:themeFill="accent4" w:themeFillTint="66"/>
          </w:tcPr>
          <w:p w14:paraId="27DBC1FB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 xml:space="preserve">Ecosystem approach to </w:t>
            </w:r>
            <w:r w:rsidRPr="005E63B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fisheries management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003FF0F0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300AC768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2890BEAB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53EF7ED6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4016D41A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55842" w:rsidRPr="005E63BE" w14:paraId="24B6572B" w14:textId="46D3D1F8" w:rsidTr="00E55842">
        <w:tc>
          <w:tcPr>
            <w:tcW w:w="2243" w:type="dxa"/>
            <w:shd w:val="clear" w:color="auto" w:fill="auto"/>
          </w:tcPr>
          <w:p w14:paraId="5EC26EA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Ecological Interactions</w:t>
            </w:r>
          </w:p>
        </w:tc>
        <w:tc>
          <w:tcPr>
            <w:tcW w:w="2244" w:type="dxa"/>
            <w:shd w:val="clear" w:color="auto" w:fill="auto"/>
          </w:tcPr>
          <w:p w14:paraId="29AB2200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2244" w:type="dxa"/>
            <w:shd w:val="clear" w:color="auto" w:fill="auto"/>
          </w:tcPr>
          <w:p w14:paraId="25442827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2243" w:type="dxa"/>
            <w:shd w:val="clear" w:color="auto" w:fill="auto"/>
          </w:tcPr>
          <w:p w14:paraId="42C524F4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2244" w:type="dxa"/>
            <w:shd w:val="clear" w:color="auto" w:fill="auto"/>
          </w:tcPr>
          <w:p w14:paraId="202774BE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2244" w:type="dxa"/>
          </w:tcPr>
          <w:p w14:paraId="472AFFD8" w14:textId="4F4B5940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</w:tr>
      <w:tr w:rsidR="00E55842" w:rsidRPr="005E63BE" w14:paraId="5AF9FE33" w14:textId="57A5D8C2" w:rsidTr="00E55842">
        <w:tc>
          <w:tcPr>
            <w:tcW w:w="2243" w:type="dxa"/>
            <w:shd w:val="clear" w:color="auto" w:fill="auto"/>
          </w:tcPr>
          <w:p w14:paraId="023AE4AA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Impacts of fishing on ecosystem component</w:t>
            </w:r>
          </w:p>
        </w:tc>
        <w:tc>
          <w:tcPr>
            <w:tcW w:w="2244" w:type="dxa"/>
            <w:shd w:val="clear" w:color="auto" w:fill="auto"/>
          </w:tcPr>
          <w:p w14:paraId="7BA8B025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44" w:type="dxa"/>
            <w:shd w:val="clear" w:color="auto" w:fill="auto"/>
          </w:tcPr>
          <w:p w14:paraId="117A7E0B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43" w:type="dxa"/>
            <w:shd w:val="clear" w:color="auto" w:fill="auto"/>
          </w:tcPr>
          <w:p w14:paraId="2342368D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44" w:type="dxa"/>
            <w:shd w:val="clear" w:color="auto" w:fill="auto"/>
          </w:tcPr>
          <w:p w14:paraId="3E338ECC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44" w:type="dxa"/>
          </w:tcPr>
          <w:p w14:paraId="10797BC5" w14:textId="44594A25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</w:tr>
      <w:tr w:rsidR="00E55842" w:rsidRPr="005E63BE" w14:paraId="1A91D675" w14:textId="1F8E009F" w:rsidTr="00E55842">
        <w:tc>
          <w:tcPr>
            <w:tcW w:w="2243" w:type="dxa"/>
            <w:shd w:val="clear" w:color="auto" w:fill="FFE599" w:themeFill="accent4" w:themeFillTint="66"/>
          </w:tcPr>
          <w:p w14:paraId="4399DF6A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Collaboration with other Organizations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48F67335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31AE9AA3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126F311D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4EBBED77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25BA9540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55842" w:rsidRPr="005E63BE" w14:paraId="2E2867DB" w14:textId="01FC88A7" w:rsidTr="00E55842">
        <w:tc>
          <w:tcPr>
            <w:tcW w:w="2243" w:type="dxa"/>
            <w:shd w:val="clear" w:color="auto" w:fill="auto"/>
          </w:tcPr>
          <w:p w14:paraId="67DD1361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PICES</w:t>
            </w:r>
          </w:p>
        </w:tc>
        <w:tc>
          <w:tcPr>
            <w:tcW w:w="2244" w:type="dxa"/>
            <w:shd w:val="clear" w:color="auto" w:fill="auto"/>
          </w:tcPr>
          <w:p w14:paraId="29C37122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49D7E81D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AF0744D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ICES-PICES WGSPF activities</w:t>
            </w:r>
          </w:p>
          <w:p w14:paraId="75AAB105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056012E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6E781EFF" w14:textId="610ED60A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PICES WG43 activities </w:t>
            </w:r>
          </w:p>
          <w:p w14:paraId="1149FBF3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E534E8D" w14:textId="11361EBE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</w:tcPr>
          <w:p w14:paraId="3CF956AF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447F3AC9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FFF083C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other opportunities for collaboration with PICES.</w:t>
            </w:r>
          </w:p>
          <w:p w14:paraId="2FE77B90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8D95C77" w14:textId="64462215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PICES WG43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activities</w:t>
            </w:r>
            <w:r w:rsidRPr="00DF1278" w:rsidDel="0021615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4092498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5EBD01E" w14:textId="4DCDD5A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NPFC-PICES workshop on VME indicator identification</w:t>
            </w:r>
          </w:p>
        </w:tc>
        <w:tc>
          <w:tcPr>
            <w:tcW w:w="2243" w:type="dxa"/>
            <w:shd w:val="clear" w:color="auto" w:fill="auto"/>
          </w:tcPr>
          <w:p w14:paraId="529C056F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46895ACD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E6D3E65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other opportunities for collaboration with PICES</w:t>
            </w:r>
          </w:p>
          <w:p w14:paraId="5FFF6CF3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</w:tcPr>
          <w:p w14:paraId="65039252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55115125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462CDDD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other opportunities for collaboration with PICES</w:t>
            </w:r>
          </w:p>
          <w:p w14:paraId="2D804D76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14:paraId="5FD6DA80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5089474D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D8136E8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other opportunities for collaboration with PICES</w:t>
            </w:r>
          </w:p>
          <w:p w14:paraId="50131E52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</w:tr>
      <w:tr w:rsidR="00E55842" w:rsidRPr="005E63BE" w14:paraId="1939920A" w14:textId="087F1DB7" w:rsidTr="00E55842">
        <w:tc>
          <w:tcPr>
            <w:tcW w:w="2243" w:type="dxa"/>
            <w:shd w:val="clear" w:color="auto" w:fill="auto"/>
          </w:tcPr>
          <w:p w14:paraId="5F251B0B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FAO</w:t>
            </w:r>
          </w:p>
        </w:tc>
        <w:tc>
          <w:tcPr>
            <w:tcW w:w="2244" w:type="dxa"/>
            <w:shd w:val="clear" w:color="auto" w:fill="auto"/>
          </w:tcPr>
          <w:p w14:paraId="6452CAD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</w:tcPr>
          <w:p w14:paraId="122DE864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NPFC’s involvement in the 2nd Phase of the GEF-FAO Common Oceans </w:t>
            </w:r>
            <w:proofErr w:type="spellStart"/>
            <w:r w:rsidRPr="00DF1278">
              <w:rPr>
                <w:rFonts w:cs="Times New Roman"/>
                <w:sz w:val="20"/>
                <w:szCs w:val="20"/>
              </w:rPr>
              <w:t>Programme</w:t>
            </w:r>
            <w:proofErr w:type="spellEnd"/>
          </w:p>
          <w:p w14:paraId="573CCDA2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14:paraId="2FED8878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NPFC’s involvement in the 2nd Phase of the GEF-FAO Common Oceans </w:t>
            </w:r>
            <w:proofErr w:type="spellStart"/>
            <w:r w:rsidRPr="00DF1278">
              <w:rPr>
                <w:rFonts w:cs="Times New Roman"/>
                <w:sz w:val="20"/>
                <w:szCs w:val="20"/>
              </w:rPr>
              <w:t>Programme</w:t>
            </w:r>
            <w:proofErr w:type="spellEnd"/>
          </w:p>
          <w:p w14:paraId="52A9A1C8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</w:tcPr>
          <w:p w14:paraId="5FDE4000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NPFC’s involvement in the 2nd Phase of the GEF-FAO Common Oceans </w:t>
            </w:r>
            <w:proofErr w:type="spellStart"/>
            <w:r w:rsidRPr="00DF1278">
              <w:rPr>
                <w:rFonts w:cs="Times New Roman"/>
                <w:sz w:val="20"/>
                <w:szCs w:val="20"/>
              </w:rPr>
              <w:t>Programme</w:t>
            </w:r>
            <w:proofErr w:type="spellEnd"/>
          </w:p>
          <w:p w14:paraId="50B05F01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14:paraId="5B867233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NPFC’s involvement in the 2nd Phase of the GEF-FAO Common Oceans </w:t>
            </w:r>
            <w:proofErr w:type="spellStart"/>
            <w:r w:rsidRPr="00DF1278">
              <w:rPr>
                <w:rFonts w:cs="Times New Roman"/>
                <w:sz w:val="20"/>
                <w:szCs w:val="20"/>
              </w:rPr>
              <w:t>Programme</w:t>
            </w:r>
            <w:proofErr w:type="spellEnd"/>
          </w:p>
          <w:p w14:paraId="0FA3AB82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55842" w:rsidRPr="005E63BE" w14:paraId="62A1676A" w14:textId="14F74C48" w:rsidTr="00E55842">
        <w:tc>
          <w:tcPr>
            <w:tcW w:w="2243" w:type="dxa"/>
            <w:shd w:val="clear" w:color="auto" w:fill="auto"/>
          </w:tcPr>
          <w:p w14:paraId="50A459F5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NPAFC</w:t>
            </w:r>
          </w:p>
        </w:tc>
        <w:tc>
          <w:tcPr>
            <w:tcW w:w="2244" w:type="dxa"/>
            <w:shd w:val="clear" w:color="auto" w:fill="auto"/>
          </w:tcPr>
          <w:p w14:paraId="54645B9F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work plan to implement NPFC/NPAFC Memorandum of Cooperation</w:t>
            </w:r>
          </w:p>
          <w:p w14:paraId="291BB6E8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744BB73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2D7E41A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NPAFC- NPFC multinational survey program</w:t>
            </w:r>
          </w:p>
        </w:tc>
        <w:tc>
          <w:tcPr>
            <w:tcW w:w="2244" w:type="dxa"/>
            <w:shd w:val="clear" w:color="auto" w:fill="auto"/>
          </w:tcPr>
          <w:p w14:paraId="7F566B32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work plan</w:t>
            </w:r>
          </w:p>
        </w:tc>
        <w:tc>
          <w:tcPr>
            <w:tcW w:w="2243" w:type="dxa"/>
            <w:shd w:val="clear" w:color="auto" w:fill="auto"/>
          </w:tcPr>
          <w:p w14:paraId="315B4E62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work plan</w:t>
            </w:r>
          </w:p>
        </w:tc>
        <w:tc>
          <w:tcPr>
            <w:tcW w:w="2244" w:type="dxa"/>
            <w:shd w:val="clear" w:color="auto" w:fill="auto"/>
          </w:tcPr>
          <w:p w14:paraId="16DACAC3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work plan</w:t>
            </w:r>
          </w:p>
        </w:tc>
        <w:tc>
          <w:tcPr>
            <w:tcW w:w="2244" w:type="dxa"/>
          </w:tcPr>
          <w:p w14:paraId="6E362684" w14:textId="7A366D9F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work plan</w:t>
            </w:r>
          </w:p>
        </w:tc>
      </w:tr>
      <w:tr w:rsidR="00E55842" w:rsidRPr="005E63BE" w14:paraId="6FE6B612" w14:textId="2E709748" w:rsidTr="00E55842">
        <w:tc>
          <w:tcPr>
            <w:tcW w:w="2243" w:type="dxa"/>
            <w:shd w:val="clear" w:color="auto" w:fill="auto"/>
          </w:tcPr>
          <w:p w14:paraId="65093FC6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Other organizations</w:t>
            </w:r>
          </w:p>
        </w:tc>
        <w:tc>
          <w:tcPr>
            <w:tcW w:w="2244" w:type="dxa"/>
            <w:shd w:val="clear" w:color="auto" w:fill="auto"/>
          </w:tcPr>
          <w:p w14:paraId="7222FF1B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2244" w:type="dxa"/>
            <w:shd w:val="clear" w:color="auto" w:fill="auto"/>
          </w:tcPr>
          <w:p w14:paraId="43A1AA71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2243" w:type="dxa"/>
            <w:shd w:val="clear" w:color="auto" w:fill="auto"/>
          </w:tcPr>
          <w:p w14:paraId="2C147FCD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2244" w:type="dxa"/>
            <w:shd w:val="clear" w:color="auto" w:fill="auto"/>
          </w:tcPr>
          <w:p w14:paraId="2977B1A4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2244" w:type="dxa"/>
          </w:tcPr>
          <w:p w14:paraId="30686C6A" w14:textId="15D85A5D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</w:tr>
      <w:tr w:rsidR="00E55842" w:rsidRPr="005E63BE" w14:paraId="0AF33EAC" w14:textId="3113EE62" w:rsidTr="00E55842">
        <w:tc>
          <w:tcPr>
            <w:tcW w:w="2243" w:type="dxa"/>
            <w:shd w:val="clear" w:color="auto" w:fill="FFE599" w:themeFill="accent4" w:themeFillTint="66"/>
          </w:tcPr>
          <w:p w14:paraId="00E3B40C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 xml:space="preserve">Research and Work </w:t>
            </w:r>
            <w:r w:rsidRPr="005E63B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Plans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32394BEF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5B22CD1D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6123C1B3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33CAED02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64ACF134" w14:textId="77777777" w:rsidR="00E55842" w:rsidRPr="005E63BE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55842" w:rsidRPr="005E63BE" w14:paraId="4D4BC7F7" w14:textId="59AE3C4B" w:rsidTr="00E55842">
        <w:tc>
          <w:tcPr>
            <w:tcW w:w="2243" w:type="dxa"/>
            <w:shd w:val="clear" w:color="auto" w:fill="auto"/>
          </w:tcPr>
          <w:p w14:paraId="30B7F0E7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Terms of Reference</w:t>
            </w:r>
          </w:p>
        </w:tc>
        <w:tc>
          <w:tcPr>
            <w:tcW w:w="2244" w:type="dxa"/>
            <w:shd w:val="clear" w:color="auto" w:fill="auto"/>
          </w:tcPr>
          <w:p w14:paraId="1F85FF00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2244" w:type="dxa"/>
            <w:shd w:val="clear" w:color="auto" w:fill="auto"/>
          </w:tcPr>
          <w:p w14:paraId="729472A5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2243" w:type="dxa"/>
            <w:shd w:val="clear" w:color="auto" w:fill="auto"/>
          </w:tcPr>
          <w:p w14:paraId="43FF275E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2244" w:type="dxa"/>
            <w:shd w:val="clear" w:color="auto" w:fill="auto"/>
          </w:tcPr>
          <w:p w14:paraId="2E960BB4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2244" w:type="dxa"/>
          </w:tcPr>
          <w:p w14:paraId="0C4BF260" w14:textId="542ABFE5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</w:tr>
      <w:tr w:rsidR="00E55842" w:rsidRPr="005E63BE" w14:paraId="7F7166FB" w14:textId="589DFA48" w:rsidTr="00E55842">
        <w:tc>
          <w:tcPr>
            <w:tcW w:w="2243" w:type="dxa"/>
            <w:shd w:val="clear" w:color="auto" w:fill="auto"/>
          </w:tcPr>
          <w:p w14:paraId="6F4324D2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Research Plan</w:t>
            </w:r>
          </w:p>
        </w:tc>
        <w:tc>
          <w:tcPr>
            <w:tcW w:w="2244" w:type="dxa"/>
            <w:shd w:val="clear" w:color="auto" w:fill="auto"/>
          </w:tcPr>
          <w:p w14:paraId="5BB082F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2244" w:type="dxa"/>
            <w:shd w:val="clear" w:color="auto" w:fill="auto"/>
          </w:tcPr>
          <w:p w14:paraId="1D9D6C64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2243" w:type="dxa"/>
            <w:shd w:val="clear" w:color="auto" w:fill="auto"/>
          </w:tcPr>
          <w:p w14:paraId="3B53FB51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2244" w:type="dxa"/>
            <w:shd w:val="clear" w:color="auto" w:fill="auto"/>
          </w:tcPr>
          <w:p w14:paraId="1FDD14BD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2244" w:type="dxa"/>
          </w:tcPr>
          <w:p w14:paraId="3F9778D8" w14:textId="4874AA08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</w:tr>
      <w:tr w:rsidR="00E55842" w:rsidRPr="005E63BE" w14:paraId="1B956195" w14:textId="3103C465" w:rsidTr="00E55842">
        <w:tc>
          <w:tcPr>
            <w:tcW w:w="2243" w:type="dxa"/>
            <w:shd w:val="clear" w:color="auto" w:fill="auto"/>
          </w:tcPr>
          <w:p w14:paraId="3C88A09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Work Plan</w:t>
            </w:r>
          </w:p>
        </w:tc>
        <w:tc>
          <w:tcPr>
            <w:tcW w:w="2244" w:type="dxa"/>
            <w:shd w:val="clear" w:color="auto" w:fill="auto"/>
          </w:tcPr>
          <w:p w14:paraId="09EF843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2244" w:type="dxa"/>
            <w:shd w:val="clear" w:color="auto" w:fill="auto"/>
          </w:tcPr>
          <w:p w14:paraId="44B0393A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2243" w:type="dxa"/>
            <w:shd w:val="clear" w:color="auto" w:fill="auto"/>
          </w:tcPr>
          <w:p w14:paraId="37903A97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2244" w:type="dxa"/>
            <w:shd w:val="clear" w:color="auto" w:fill="auto"/>
          </w:tcPr>
          <w:p w14:paraId="33248880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2244" w:type="dxa"/>
          </w:tcPr>
          <w:p w14:paraId="78922CEE" w14:textId="5E3B3B28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</w:tr>
      <w:tr w:rsidR="00E55842" w:rsidRPr="005E63BE" w14:paraId="4B7ED687" w14:textId="1AD2A94A" w:rsidTr="00E55842">
        <w:tc>
          <w:tcPr>
            <w:tcW w:w="2243" w:type="dxa"/>
            <w:shd w:val="clear" w:color="auto" w:fill="auto"/>
          </w:tcPr>
          <w:p w14:paraId="4CCD44C1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Projects</w:t>
            </w:r>
          </w:p>
        </w:tc>
        <w:tc>
          <w:tcPr>
            <w:tcW w:w="2244" w:type="dxa"/>
            <w:shd w:val="clear" w:color="auto" w:fill="auto"/>
          </w:tcPr>
          <w:p w14:paraId="60A83CD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31333C35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5997BE6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2244" w:type="dxa"/>
            <w:shd w:val="clear" w:color="auto" w:fill="auto"/>
          </w:tcPr>
          <w:p w14:paraId="3C32D456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0508C06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BCA3577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2243" w:type="dxa"/>
            <w:shd w:val="clear" w:color="auto" w:fill="auto"/>
          </w:tcPr>
          <w:p w14:paraId="5771EE58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48D1972F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BA1D186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2244" w:type="dxa"/>
            <w:shd w:val="clear" w:color="auto" w:fill="auto"/>
          </w:tcPr>
          <w:p w14:paraId="79EFC74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7EBD31E7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B306AD2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2244" w:type="dxa"/>
          </w:tcPr>
          <w:p w14:paraId="4C673C04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2F7631BB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EB5350E" w14:textId="645EA953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</w:tr>
      <w:tr w:rsidR="00E55842" w:rsidRPr="005E63BE" w14:paraId="6A4360A7" w14:textId="28C12444" w:rsidTr="00E55842">
        <w:tc>
          <w:tcPr>
            <w:tcW w:w="2243" w:type="dxa"/>
            <w:shd w:val="clear" w:color="auto" w:fill="FFE599" w:themeFill="accent4" w:themeFillTint="66"/>
          </w:tcPr>
          <w:p w14:paraId="5BF8C385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Data Management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321E2EBC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4AF3B072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01C4F091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7B4D9468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149917CD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55842" w:rsidRPr="005E63BE" w14:paraId="7F9A033D" w14:textId="5032D7CE" w:rsidTr="00E55842">
        <w:tc>
          <w:tcPr>
            <w:tcW w:w="2243" w:type="dxa"/>
            <w:shd w:val="clear" w:color="auto" w:fill="auto"/>
          </w:tcPr>
          <w:p w14:paraId="35DFD5CA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</w:tcPr>
          <w:p w14:paraId="7E23B39F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3AAEDEC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1A5A0F4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analyses and associated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data management policy</w:t>
            </w:r>
          </w:p>
        </w:tc>
        <w:tc>
          <w:tcPr>
            <w:tcW w:w="2244" w:type="dxa"/>
            <w:shd w:val="clear" w:color="auto" w:fill="auto"/>
          </w:tcPr>
          <w:p w14:paraId="2A1CABF9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data standards in relation to stock assessment of priority species</w:t>
            </w:r>
          </w:p>
          <w:p w14:paraId="28FE488C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E31FB93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analyses and associated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data management policy</w:t>
            </w:r>
          </w:p>
        </w:tc>
        <w:tc>
          <w:tcPr>
            <w:tcW w:w="2243" w:type="dxa"/>
            <w:shd w:val="clear" w:color="auto" w:fill="auto"/>
          </w:tcPr>
          <w:p w14:paraId="1E8D12A4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data standards in relation to stock assessment of priority species</w:t>
            </w:r>
          </w:p>
          <w:p w14:paraId="2510E80F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4A3500F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analyses and associated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data management policy</w:t>
            </w:r>
          </w:p>
        </w:tc>
        <w:tc>
          <w:tcPr>
            <w:tcW w:w="2244" w:type="dxa"/>
            <w:shd w:val="clear" w:color="auto" w:fill="auto"/>
          </w:tcPr>
          <w:p w14:paraId="5843034C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data standards in relation to stock assessment of priority species</w:t>
            </w:r>
          </w:p>
          <w:p w14:paraId="1DE26F20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2CDE36A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analyses and associated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data management policy</w:t>
            </w:r>
          </w:p>
        </w:tc>
        <w:tc>
          <w:tcPr>
            <w:tcW w:w="2244" w:type="dxa"/>
          </w:tcPr>
          <w:p w14:paraId="59096F2C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data standards in relation to stock assessment of priority species</w:t>
            </w:r>
          </w:p>
          <w:p w14:paraId="59FAD827" w14:textId="77777777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498DECDA" w14:textId="074342F6" w:rsidR="00E55842" w:rsidRPr="00DF1278" w:rsidRDefault="00E55842" w:rsidP="005115A8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analyses and associated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data management policy</w:t>
            </w:r>
          </w:p>
        </w:tc>
      </w:tr>
      <w:tr w:rsidR="00E55842" w:rsidRPr="005E63BE" w14:paraId="179F3214" w14:textId="64C43A10" w:rsidTr="00E55842">
        <w:tc>
          <w:tcPr>
            <w:tcW w:w="2243" w:type="dxa"/>
            <w:shd w:val="clear" w:color="auto" w:fill="FFE599" w:themeFill="accent4" w:themeFillTint="66"/>
          </w:tcPr>
          <w:p w14:paraId="527B4208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Recommendations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0547A22B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2824EE77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2BDD1077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5ACD78C6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56F473F8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55842" w:rsidRPr="005E63BE" w14:paraId="494577BA" w14:textId="7B11CA1B" w:rsidTr="00E55842">
        <w:tc>
          <w:tcPr>
            <w:tcW w:w="2243" w:type="dxa"/>
            <w:shd w:val="clear" w:color="auto" w:fill="auto"/>
          </w:tcPr>
          <w:p w14:paraId="5150DD31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Advice</w:t>
            </w:r>
          </w:p>
        </w:tc>
        <w:tc>
          <w:tcPr>
            <w:tcW w:w="2244" w:type="dxa"/>
            <w:shd w:val="clear" w:color="auto" w:fill="auto"/>
          </w:tcPr>
          <w:p w14:paraId="5EB29F65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2244" w:type="dxa"/>
            <w:shd w:val="clear" w:color="auto" w:fill="auto"/>
          </w:tcPr>
          <w:p w14:paraId="0599DC88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2243" w:type="dxa"/>
            <w:shd w:val="clear" w:color="auto" w:fill="auto"/>
          </w:tcPr>
          <w:p w14:paraId="7AAE0407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2244" w:type="dxa"/>
            <w:shd w:val="clear" w:color="auto" w:fill="auto"/>
          </w:tcPr>
          <w:p w14:paraId="00DD6A5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2244" w:type="dxa"/>
          </w:tcPr>
          <w:p w14:paraId="748365EA" w14:textId="72A9C008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</w:tr>
      <w:tr w:rsidR="00E55842" w:rsidRPr="005E63BE" w14:paraId="11FE7BAF" w14:textId="6FE9C8CD" w:rsidTr="00E55842">
        <w:tc>
          <w:tcPr>
            <w:tcW w:w="2243" w:type="dxa"/>
            <w:shd w:val="clear" w:color="auto" w:fill="FFE599" w:themeFill="accent4" w:themeFillTint="66"/>
          </w:tcPr>
          <w:p w14:paraId="090EF889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Media Communication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17338485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2E6F8E13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08AA4BBE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08286D87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E599" w:themeFill="accent4" w:themeFillTint="66"/>
          </w:tcPr>
          <w:p w14:paraId="76C957FB" w14:textId="77777777" w:rsidR="00E55842" w:rsidRPr="005E63BE" w:rsidRDefault="00E55842" w:rsidP="005115A8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55842" w:rsidRPr="005E63BE" w14:paraId="7EA4479D" w14:textId="25412D99" w:rsidTr="00E55842">
        <w:tc>
          <w:tcPr>
            <w:tcW w:w="2243" w:type="dxa"/>
            <w:shd w:val="clear" w:color="auto" w:fill="auto"/>
          </w:tcPr>
          <w:p w14:paraId="6ADB9F6B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Press Release</w:t>
            </w:r>
          </w:p>
        </w:tc>
        <w:tc>
          <w:tcPr>
            <w:tcW w:w="2244" w:type="dxa"/>
            <w:shd w:val="clear" w:color="auto" w:fill="auto"/>
          </w:tcPr>
          <w:p w14:paraId="6F8B493C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44" w:type="dxa"/>
            <w:shd w:val="clear" w:color="auto" w:fill="auto"/>
          </w:tcPr>
          <w:p w14:paraId="4D8568D9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43" w:type="dxa"/>
            <w:shd w:val="clear" w:color="auto" w:fill="auto"/>
          </w:tcPr>
          <w:p w14:paraId="121435F6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44" w:type="dxa"/>
            <w:shd w:val="clear" w:color="auto" w:fill="auto"/>
          </w:tcPr>
          <w:p w14:paraId="2C66CBC6" w14:textId="77777777" w:rsidR="00E55842" w:rsidRPr="00DF1278" w:rsidRDefault="00E55842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44" w:type="dxa"/>
          </w:tcPr>
          <w:p w14:paraId="507F1255" w14:textId="616AE70D" w:rsidR="00E55842" w:rsidRPr="00DF1278" w:rsidRDefault="00E55842" w:rsidP="005115A8">
            <w:pPr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</w:tr>
    </w:tbl>
    <w:p w14:paraId="2928E69C" w14:textId="77777777" w:rsidR="007412BB" w:rsidRDefault="007412BB">
      <w:pPr>
        <w:widowControl/>
        <w:jc w:val="left"/>
      </w:pPr>
    </w:p>
    <w:sectPr w:rsidR="007412BB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4E53" w14:textId="77777777" w:rsidR="00450171" w:rsidRDefault="00450171" w:rsidP="001E4075">
      <w:r>
        <w:separator/>
      </w:r>
    </w:p>
  </w:endnote>
  <w:endnote w:type="continuationSeparator" w:id="0">
    <w:p w14:paraId="04D2F29A" w14:textId="77777777" w:rsidR="00450171" w:rsidRDefault="00450171" w:rsidP="001E4075">
      <w:r>
        <w:continuationSeparator/>
      </w:r>
    </w:p>
  </w:endnote>
  <w:endnote w:type="continuationNotice" w:id="1">
    <w:p w14:paraId="5A6933FC" w14:textId="77777777" w:rsidR="00450171" w:rsidRDefault="00450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3DDBF1F6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C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68D3DCDC">
              <wp:simplePos x="0" y="0"/>
              <wp:positionH relativeFrom="margin">
                <wp:posOffset>7108371</wp:posOffset>
              </wp:positionH>
              <wp:positionV relativeFrom="paragraph">
                <wp:posOffset>-30117</wp:posOffset>
              </wp:positionV>
              <wp:extent cx="1463857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857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59.7pt;margin-top:-2.35pt;width:115.2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/ooA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D83E" w14:textId="77777777" w:rsidR="00450171" w:rsidRDefault="00450171" w:rsidP="001E4075">
      <w:r>
        <w:separator/>
      </w:r>
    </w:p>
  </w:footnote>
  <w:footnote w:type="continuationSeparator" w:id="0">
    <w:p w14:paraId="54C676FB" w14:textId="77777777" w:rsidR="00450171" w:rsidRDefault="00450171" w:rsidP="001E4075">
      <w:r>
        <w:continuationSeparator/>
      </w:r>
    </w:p>
  </w:footnote>
  <w:footnote w:type="continuationNotice" w:id="1">
    <w:p w14:paraId="1D1109E9" w14:textId="77777777" w:rsidR="00450171" w:rsidRDefault="00450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2C0E3104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Bun6BY4gAAAAsBAAAPAAAAAAAAAAAAAAAAAKsEAABkcnMvZG93bnJldi54bWxQ&#10;SwUGAAAAAAQABADzAAAAugUAAAAA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629842">
    <w:abstractNumId w:val="22"/>
  </w:num>
  <w:num w:numId="2" w16cid:durableId="1205022082">
    <w:abstractNumId w:val="23"/>
  </w:num>
  <w:num w:numId="3" w16cid:durableId="1881359919">
    <w:abstractNumId w:val="20"/>
  </w:num>
  <w:num w:numId="4" w16cid:durableId="96101602">
    <w:abstractNumId w:val="15"/>
  </w:num>
  <w:num w:numId="5" w16cid:durableId="2003191972">
    <w:abstractNumId w:val="14"/>
  </w:num>
  <w:num w:numId="6" w16cid:durableId="1582182898">
    <w:abstractNumId w:val="33"/>
  </w:num>
  <w:num w:numId="7" w16cid:durableId="838889214">
    <w:abstractNumId w:val="50"/>
  </w:num>
  <w:num w:numId="8" w16cid:durableId="1421289698">
    <w:abstractNumId w:val="11"/>
  </w:num>
  <w:num w:numId="9" w16cid:durableId="1691099607">
    <w:abstractNumId w:val="53"/>
  </w:num>
  <w:num w:numId="10" w16cid:durableId="128479813">
    <w:abstractNumId w:val="2"/>
  </w:num>
  <w:num w:numId="11" w16cid:durableId="428820228">
    <w:abstractNumId w:val="30"/>
  </w:num>
  <w:num w:numId="12" w16cid:durableId="394356861">
    <w:abstractNumId w:val="25"/>
  </w:num>
  <w:num w:numId="13" w16cid:durableId="158624497">
    <w:abstractNumId w:val="43"/>
  </w:num>
  <w:num w:numId="14" w16cid:durableId="907035594">
    <w:abstractNumId w:val="7"/>
  </w:num>
  <w:num w:numId="15" w16cid:durableId="1341353141">
    <w:abstractNumId w:val="0"/>
  </w:num>
  <w:num w:numId="16" w16cid:durableId="884486516">
    <w:abstractNumId w:val="9"/>
  </w:num>
  <w:num w:numId="17" w16cid:durableId="845052610">
    <w:abstractNumId w:val="52"/>
  </w:num>
  <w:num w:numId="18" w16cid:durableId="382605600">
    <w:abstractNumId w:val="16"/>
  </w:num>
  <w:num w:numId="19" w16cid:durableId="1415278516">
    <w:abstractNumId w:val="42"/>
  </w:num>
  <w:num w:numId="20" w16cid:durableId="2089184596">
    <w:abstractNumId w:val="13"/>
  </w:num>
  <w:num w:numId="21" w16cid:durableId="2118061435">
    <w:abstractNumId w:val="56"/>
  </w:num>
  <w:num w:numId="22" w16cid:durableId="935946638">
    <w:abstractNumId w:val="44"/>
  </w:num>
  <w:num w:numId="23" w16cid:durableId="730269945">
    <w:abstractNumId w:val="45"/>
  </w:num>
  <w:num w:numId="24" w16cid:durableId="953487316">
    <w:abstractNumId w:val="59"/>
  </w:num>
  <w:num w:numId="25" w16cid:durableId="312805495">
    <w:abstractNumId w:val="51"/>
  </w:num>
  <w:num w:numId="26" w16cid:durableId="1713730509">
    <w:abstractNumId w:val="32"/>
  </w:num>
  <w:num w:numId="27" w16cid:durableId="411707496">
    <w:abstractNumId w:val="8"/>
  </w:num>
  <w:num w:numId="28" w16cid:durableId="2075544717">
    <w:abstractNumId w:val="49"/>
  </w:num>
  <w:num w:numId="29" w16cid:durableId="834147481">
    <w:abstractNumId w:val="6"/>
  </w:num>
  <w:num w:numId="30" w16cid:durableId="899945254">
    <w:abstractNumId w:val="38"/>
  </w:num>
  <w:num w:numId="31" w16cid:durableId="57288732">
    <w:abstractNumId w:val="47"/>
  </w:num>
  <w:num w:numId="32" w16cid:durableId="1020663953">
    <w:abstractNumId w:val="55"/>
  </w:num>
  <w:num w:numId="33" w16cid:durableId="700743350">
    <w:abstractNumId w:val="58"/>
  </w:num>
  <w:num w:numId="34" w16cid:durableId="741484595">
    <w:abstractNumId w:val="46"/>
  </w:num>
  <w:num w:numId="35" w16cid:durableId="131095457">
    <w:abstractNumId w:val="29"/>
  </w:num>
  <w:num w:numId="36" w16cid:durableId="395671058">
    <w:abstractNumId w:val="12"/>
  </w:num>
  <w:num w:numId="37" w16cid:durableId="2010600962">
    <w:abstractNumId w:val="24"/>
  </w:num>
  <w:num w:numId="38" w16cid:durableId="458687167">
    <w:abstractNumId w:val="36"/>
  </w:num>
  <w:num w:numId="39" w16cid:durableId="1666394043">
    <w:abstractNumId w:val="39"/>
  </w:num>
  <w:num w:numId="40" w16cid:durableId="1214344700">
    <w:abstractNumId w:val="37"/>
  </w:num>
  <w:num w:numId="41" w16cid:durableId="1778678810">
    <w:abstractNumId w:val="4"/>
  </w:num>
  <w:num w:numId="42" w16cid:durableId="585265204">
    <w:abstractNumId w:val="35"/>
  </w:num>
  <w:num w:numId="43" w16cid:durableId="173036485">
    <w:abstractNumId w:val="17"/>
  </w:num>
  <w:num w:numId="44" w16cid:durableId="45490205">
    <w:abstractNumId w:val="40"/>
  </w:num>
  <w:num w:numId="45" w16cid:durableId="1605335270">
    <w:abstractNumId w:val="31"/>
  </w:num>
  <w:num w:numId="46" w16cid:durableId="1787038950">
    <w:abstractNumId w:val="48"/>
  </w:num>
  <w:num w:numId="47" w16cid:durableId="1973051927">
    <w:abstractNumId w:val="1"/>
  </w:num>
  <w:num w:numId="48" w16cid:durableId="63184852">
    <w:abstractNumId w:val="18"/>
  </w:num>
  <w:num w:numId="49" w16cid:durableId="1402679611">
    <w:abstractNumId w:val="57"/>
  </w:num>
  <w:num w:numId="50" w16cid:durableId="125509189">
    <w:abstractNumId w:val="3"/>
  </w:num>
  <w:num w:numId="51" w16cid:durableId="1758214621">
    <w:abstractNumId w:val="41"/>
  </w:num>
  <w:num w:numId="52" w16cid:durableId="1436712809">
    <w:abstractNumId w:val="54"/>
  </w:num>
  <w:num w:numId="53" w16cid:durableId="75370162">
    <w:abstractNumId w:val="26"/>
  </w:num>
  <w:num w:numId="54" w16cid:durableId="550191577">
    <w:abstractNumId w:val="21"/>
  </w:num>
  <w:num w:numId="55" w16cid:durableId="1112356236">
    <w:abstractNumId w:val="34"/>
  </w:num>
  <w:num w:numId="56" w16cid:durableId="23363530">
    <w:abstractNumId w:val="60"/>
  </w:num>
  <w:num w:numId="57" w16cid:durableId="145434689">
    <w:abstractNumId w:val="61"/>
  </w:num>
  <w:num w:numId="58" w16cid:durableId="1105688974">
    <w:abstractNumId w:val="28"/>
  </w:num>
  <w:num w:numId="59" w16cid:durableId="950934084">
    <w:abstractNumId w:val="27"/>
  </w:num>
  <w:num w:numId="60" w16cid:durableId="84495494">
    <w:abstractNumId w:val="10"/>
  </w:num>
  <w:num w:numId="61" w16cid:durableId="619530830">
    <w:abstractNumId w:val="5"/>
  </w:num>
  <w:num w:numId="62" w16cid:durableId="1795171134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5AAA"/>
    <w:rsid w:val="00022A66"/>
    <w:rsid w:val="00027A27"/>
    <w:rsid w:val="00041374"/>
    <w:rsid w:val="00051EE5"/>
    <w:rsid w:val="0005251C"/>
    <w:rsid w:val="000529C5"/>
    <w:rsid w:val="0005577E"/>
    <w:rsid w:val="00055F86"/>
    <w:rsid w:val="000704A8"/>
    <w:rsid w:val="000713CC"/>
    <w:rsid w:val="000834EC"/>
    <w:rsid w:val="00083C17"/>
    <w:rsid w:val="000866B4"/>
    <w:rsid w:val="00091A0B"/>
    <w:rsid w:val="000A00F4"/>
    <w:rsid w:val="000A0127"/>
    <w:rsid w:val="000A2BF6"/>
    <w:rsid w:val="000B2BF8"/>
    <w:rsid w:val="000C0B4F"/>
    <w:rsid w:val="000D1AEF"/>
    <w:rsid w:val="000D3B0D"/>
    <w:rsid w:val="000D3B17"/>
    <w:rsid w:val="000E512E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564E"/>
    <w:rsid w:val="00166A4A"/>
    <w:rsid w:val="00173DEE"/>
    <w:rsid w:val="00174B55"/>
    <w:rsid w:val="001858A3"/>
    <w:rsid w:val="001901CC"/>
    <w:rsid w:val="00191234"/>
    <w:rsid w:val="001B0287"/>
    <w:rsid w:val="001B34DC"/>
    <w:rsid w:val="001B435B"/>
    <w:rsid w:val="001C1577"/>
    <w:rsid w:val="001C68E8"/>
    <w:rsid w:val="001C76FD"/>
    <w:rsid w:val="001E3A72"/>
    <w:rsid w:val="001E4075"/>
    <w:rsid w:val="001E5FD1"/>
    <w:rsid w:val="001F1331"/>
    <w:rsid w:val="001F2C3C"/>
    <w:rsid w:val="001F3017"/>
    <w:rsid w:val="00211732"/>
    <w:rsid w:val="00213B6D"/>
    <w:rsid w:val="00216158"/>
    <w:rsid w:val="002170D9"/>
    <w:rsid w:val="00237FE3"/>
    <w:rsid w:val="00254CE4"/>
    <w:rsid w:val="00270C45"/>
    <w:rsid w:val="00283A7D"/>
    <w:rsid w:val="002900A3"/>
    <w:rsid w:val="002945FA"/>
    <w:rsid w:val="0029554A"/>
    <w:rsid w:val="002A12A6"/>
    <w:rsid w:val="002A763E"/>
    <w:rsid w:val="002B6001"/>
    <w:rsid w:val="002C694A"/>
    <w:rsid w:val="002E156A"/>
    <w:rsid w:val="002E6611"/>
    <w:rsid w:val="002F0598"/>
    <w:rsid w:val="002F6900"/>
    <w:rsid w:val="003075E1"/>
    <w:rsid w:val="00307EFE"/>
    <w:rsid w:val="003108DA"/>
    <w:rsid w:val="00312BCE"/>
    <w:rsid w:val="0031761D"/>
    <w:rsid w:val="00321065"/>
    <w:rsid w:val="003263BC"/>
    <w:rsid w:val="00332426"/>
    <w:rsid w:val="00335600"/>
    <w:rsid w:val="00335B8B"/>
    <w:rsid w:val="00360EBD"/>
    <w:rsid w:val="00366206"/>
    <w:rsid w:val="003746CE"/>
    <w:rsid w:val="00375D58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14EF3"/>
    <w:rsid w:val="00420F92"/>
    <w:rsid w:val="0042324B"/>
    <w:rsid w:val="00430BF6"/>
    <w:rsid w:val="004427DB"/>
    <w:rsid w:val="00443D62"/>
    <w:rsid w:val="00446F32"/>
    <w:rsid w:val="00450171"/>
    <w:rsid w:val="00451D1A"/>
    <w:rsid w:val="0046235F"/>
    <w:rsid w:val="0047355B"/>
    <w:rsid w:val="00481585"/>
    <w:rsid w:val="00483C8A"/>
    <w:rsid w:val="00483F99"/>
    <w:rsid w:val="004B0A13"/>
    <w:rsid w:val="004B3FEA"/>
    <w:rsid w:val="004C07C1"/>
    <w:rsid w:val="004C41EA"/>
    <w:rsid w:val="004F59AF"/>
    <w:rsid w:val="00506888"/>
    <w:rsid w:val="00510344"/>
    <w:rsid w:val="00511155"/>
    <w:rsid w:val="005115A8"/>
    <w:rsid w:val="005161CE"/>
    <w:rsid w:val="005264FF"/>
    <w:rsid w:val="0052717A"/>
    <w:rsid w:val="00531E09"/>
    <w:rsid w:val="005363DF"/>
    <w:rsid w:val="00544511"/>
    <w:rsid w:val="00546F75"/>
    <w:rsid w:val="005510BE"/>
    <w:rsid w:val="00551342"/>
    <w:rsid w:val="00552ACE"/>
    <w:rsid w:val="00554989"/>
    <w:rsid w:val="00564F5A"/>
    <w:rsid w:val="00577519"/>
    <w:rsid w:val="005867C8"/>
    <w:rsid w:val="00590EFF"/>
    <w:rsid w:val="005A4AFA"/>
    <w:rsid w:val="005C3C1B"/>
    <w:rsid w:val="005D7B2D"/>
    <w:rsid w:val="005E2EFB"/>
    <w:rsid w:val="005E496D"/>
    <w:rsid w:val="005F4B0A"/>
    <w:rsid w:val="005F571E"/>
    <w:rsid w:val="006026E8"/>
    <w:rsid w:val="00603364"/>
    <w:rsid w:val="00604E9D"/>
    <w:rsid w:val="00605285"/>
    <w:rsid w:val="0062786F"/>
    <w:rsid w:val="006335E8"/>
    <w:rsid w:val="006454D3"/>
    <w:rsid w:val="00647336"/>
    <w:rsid w:val="006563AE"/>
    <w:rsid w:val="006805D6"/>
    <w:rsid w:val="00681174"/>
    <w:rsid w:val="00682A67"/>
    <w:rsid w:val="006B2DAD"/>
    <w:rsid w:val="006B4F3E"/>
    <w:rsid w:val="006D5D85"/>
    <w:rsid w:val="006E6863"/>
    <w:rsid w:val="00702A3B"/>
    <w:rsid w:val="00706704"/>
    <w:rsid w:val="00710CC4"/>
    <w:rsid w:val="00712359"/>
    <w:rsid w:val="00712C20"/>
    <w:rsid w:val="007176E2"/>
    <w:rsid w:val="007412BB"/>
    <w:rsid w:val="0074396C"/>
    <w:rsid w:val="007520B6"/>
    <w:rsid w:val="007543D8"/>
    <w:rsid w:val="00762BF6"/>
    <w:rsid w:val="00770C12"/>
    <w:rsid w:val="00772DD1"/>
    <w:rsid w:val="00776185"/>
    <w:rsid w:val="00776BE7"/>
    <w:rsid w:val="00792CFB"/>
    <w:rsid w:val="00797B8B"/>
    <w:rsid w:val="007A0BF5"/>
    <w:rsid w:val="007A28B6"/>
    <w:rsid w:val="007A3CBE"/>
    <w:rsid w:val="007B09F9"/>
    <w:rsid w:val="007B0CFF"/>
    <w:rsid w:val="007B0EC6"/>
    <w:rsid w:val="007C4B6C"/>
    <w:rsid w:val="007E405D"/>
    <w:rsid w:val="007E50DD"/>
    <w:rsid w:val="007F45CC"/>
    <w:rsid w:val="007F4819"/>
    <w:rsid w:val="007F722E"/>
    <w:rsid w:val="00814E20"/>
    <w:rsid w:val="00815417"/>
    <w:rsid w:val="008201B4"/>
    <w:rsid w:val="00824B2F"/>
    <w:rsid w:val="0084053D"/>
    <w:rsid w:val="0085242C"/>
    <w:rsid w:val="00860BE6"/>
    <w:rsid w:val="00880204"/>
    <w:rsid w:val="00881A5B"/>
    <w:rsid w:val="008832D9"/>
    <w:rsid w:val="00885724"/>
    <w:rsid w:val="00891F2F"/>
    <w:rsid w:val="008A41B9"/>
    <w:rsid w:val="008B0790"/>
    <w:rsid w:val="008B501E"/>
    <w:rsid w:val="008C08D0"/>
    <w:rsid w:val="008D17EE"/>
    <w:rsid w:val="009105C7"/>
    <w:rsid w:val="009141F6"/>
    <w:rsid w:val="00921C3E"/>
    <w:rsid w:val="00923FC6"/>
    <w:rsid w:val="00932762"/>
    <w:rsid w:val="0093509E"/>
    <w:rsid w:val="00946B93"/>
    <w:rsid w:val="00952D36"/>
    <w:rsid w:val="00957C46"/>
    <w:rsid w:val="009618E3"/>
    <w:rsid w:val="00966D7A"/>
    <w:rsid w:val="00971F6A"/>
    <w:rsid w:val="0098034E"/>
    <w:rsid w:val="00985457"/>
    <w:rsid w:val="009940EF"/>
    <w:rsid w:val="009A2A1E"/>
    <w:rsid w:val="009B3598"/>
    <w:rsid w:val="009C5E77"/>
    <w:rsid w:val="009D1AF4"/>
    <w:rsid w:val="009D2089"/>
    <w:rsid w:val="009D57C0"/>
    <w:rsid w:val="009D75B3"/>
    <w:rsid w:val="009E00BA"/>
    <w:rsid w:val="009E02C4"/>
    <w:rsid w:val="009E44B4"/>
    <w:rsid w:val="009F4D55"/>
    <w:rsid w:val="00A11CAD"/>
    <w:rsid w:val="00A12701"/>
    <w:rsid w:val="00A17943"/>
    <w:rsid w:val="00A31176"/>
    <w:rsid w:val="00A33302"/>
    <w:rsid w:val="00A37CDC"/>
    <w:rsid w:val="00A423E7"/>
    <w:rsid w:val="00A44F79"/>
    <w:rsid w:val="00A46FA7"/>
    <w:rsid w:val="00A55FC4"/>
    <w:rsid w:val="00A61283"/>
    <w:rsid w:val="00A7704B"/>
    <w:rsid w:val="00A774D8"/>
    <w:rsid w:val="00A8127F"/>
    <w:rsid w:val="00A91DAA"/>
    <w:rsid w:val="00AA678F"/>
    <w:rsid w:val="00AB3668"/>
    <w:rsid w:val="00AB5C85"/>
    <w:rsid w:val="00AC6A21"/>
    <w:rsid w:val="00AF7546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2745"/>
    <w:rsid w:val="00B8528B"/>
    <w:rsid w:val="00BA27C7"/>
    <w:rsid w:val="00BB18A0"/>
    <w:rsid w:val="00BB1FD8"/>
    <w:rsid w:val="00BB2FE3"/>
    <w:rsid w:val="00BB551A"/>
    <w:rsid w:val="00BB5E3D"/>
    <w:rsid w:val="00BE0665"/>
    <w:rsid w:val="00BE1DC2"/>
    <w:rsid w:val="00BF52C0"/>
    <w:rsid w:val="00BF66A3"/>
    <w:rsid w:val="00BF6A19"/>
    <w:rsid w:val="00BF71DF"/>
    <w:rsid w:val="00C0045D"/>
    <w:rsid w:val="00C10A77"/>
    <w:rsid w:val="00C1148D"/>
    <w:rsid w:val="00C14D55"/>
    <w:rsid w:val="00C30D31"/>
    <w:rsid w:val="00C343BF"/>
    <w:rsid w:val="00C50E07"/>
    <w:rsid w:val="00C53B80"/>
    <w:rsid w:val="00C60794"/>
    <w:rsid w:val="00C7541E"/>
    <w:rsid w:val="00C76C54"/>
    <w:rsid w:val="00C83C38"/>
    <w:rsid w:val="00C922BD"/>
    <w:rsid w:val="00CA08CC"/>
    <w:rsid w:val="00CA2AA1"/>
    <w:rsid w:val="00CA4722"/>
    <w:rsid w:val="00CA7BE0"/>
    <w:rsid w:val="00CB3D39"/>
    <w:rsid w:val="00CC48E0"/>
    <w:rsid w:val="00CE36AD"/>
    <w:rsid w:val="00CF4791"/>
    <w:rsid w:val="00D007E6"/>
    <w:rsid w:val="00D12963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613"/>
    <w:rsid w:val="00D67EC5"/>
    <w:rsid w:val="00D77C90"/>
    <w:rsid w:val="00D856B5"/>
    <w:rsid w:val="00DA2D56"/>
    <w:rsid w:val="00DA7754"/>
    <w:rsid w:val="00DB3656"/>
    <w:rsid w:val="00DE2731"/>
    <w:rsid w:val="00DE721F"/>
    <w:rsid w:val="00DF1278"/>
    <w:rsid w:val="00DF1F3C"/>
    <w:rsid w:val="00E02EAC"/>
    <w:rsid w:val="00E1388A"/>
    <w:rsid w:val="00E17A80"/>
    <w:rsid w:val="00E207AE"/>
    <w:rsid w:val="00E33FB8"/>
    <w:rsid w:val="00E37769"/>
    <w:rsid w:val="00E43DBC"/>
    <w:rsid w:val="00E5555A"/>
    <w:rsid w:val="00E55842"/>
    <w:rsid w:val="00E575D4"/>
    <w:rsid w:val="00E747DF"/>
    <w:rsid w:val="00E8004D"/>
    <w:rsid w:val="00E8413E"/>
    <w:rsid w:val="00E91E89"/>
    <w:rsid w:val="00E92C0B"/>
    <w:rsid w:val="00EB6E83"/>
    <w:rsid w:val="00EB73EA"/>
    <w:rsid w:val="00ED6AB9"/>
    <w:rsid w:val="00EE5D77"/>
    <w:rsid w:val="00EF0C97"/>
    <w:rsid w:val="00EF0CF3"/>
    <w:rsid w:val="00EF1D82"/>
    <w:rsid w:val="00EF41FA"/>
    <w:rsid w:val="00EF6ECA"/>
    <w:rsid w:val="00F01870"/>
    <w:rsid w:val="00F03E37"/>
    <w:rsid w:val="00F32B7D"/>
    <w:rsid w:val="00F56151"/>
    <w:rsid w:val="00F6143C"/>
    <w:rsid w:val="00F658B7"/>
    <w:rsid w:val="00F71DE4"/>
    <w:rsid w:val="00F73D6D"/>
    <w:rsid w:val="00F741B4"/>
    <w:rsid w:val="00F7743F"/>
    <w:rsid w:val="00F8107E"/>
    <w:rsid w:val="00F9558E"/>
    <w:rsid w:val="00FA6D8D"/>
    <w:rsid w:val="00FB11FB"/>
    <w:rsid w:val="00FB3E29"/>
    <w:rsid w:val="00FB7FC2"/>
    <w:rsid w:val="00FC04AA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12B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9A0B-7930-42D1-B31D-D755B97E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1500</Words>
  <Characters>8553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 Zavolokin</cp:lastModifiedBy>
  <cp:revision>2</cp:revision>
  <cp:lastPrinted>2021-01-06T01:56:00Z</cp:lastPrinted>
  <dcterms:created xsi:type="dcterms:W3CDTF">2022-11-04T03:55:00Z</dcterms:created>
  <dcterms:modified xsi:type="dcterms:W3CDTF">2022-11-04T03:55:00Z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